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D7" w:rsidRPr="00E830D7" w:rsidRDefault="00E830D7" w:rsidP="00E830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30D7">
        <w:rPr>
          <w:rFonts w:ascii="Times New Roman" w:hAnsi="Times New Roman" w:cs="Times New Roman"/>
          <w:b/>
          <w:sz w:val="32"/>
          <w:szCs w:val="32"/>
          <w:u w:val="single"/>
        </w:rPr>
        <w:t>Показатели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в Омской области на 2019 год и на плановый период и на плановый период 2020 и 2021 годов</w:t>
      </w:r>
    </w:p>
    <w:p w:rsidR="00E830D7" w:rsidRPr="00E830D7" w:rsidRDefault="00E830D7" w:rsidP="00E830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0D7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Критериями качества медицинской помощи являются: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0D7">
        <w:rPr>
          <w:rFonts w:ascii="Times New Roman" w:hAnsi="Times New Roman" w:cs="Times New Roman"/>
          <w:sz w:val="24"/>
          <w:szCs w:val="24"/>
        </w:rPr>
        <w:t xml:space="preserve">1) удовлетворенность населения медицинской помощью, в том числе городского и сельского населения (процентов от числа опрошенных): 2019 год – 60,0, в том числе городского населения – 60,0, сельского населения – 60,0; 2020 год – 61,0, в том числе городского населения – 61,0, сельского 13 населения – 61,0; 2021 год – 62,0, в том числе городского населения – 62,0, сельского населения – 62,0; </w:t>
      </w:r>
      <w:proofErr w:type="gramEnd"/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2) смертность населения в трудоспособном возрасте (число умерших в трудоспособном возрасте на 100 тыс. человек населения): 2019 год – 495,0; 2020 год – 466,0; 2021 год – 449,0;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3) доля умерших в трудоспособном возрасте на дому в общем количестве умерших в трудоспособном возрасте (процентов): 2019 год – 26,8; 2020 год – 26,7; 2021 год – 26,6;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>4) материнская смертность (на 100 тыс. человек, родившихся живыми): 2019 год – 11,4; 2020 год – 11,4; 2021 год – 11,4;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0D7">
        <w:rPr>
          <w:rFonts w:ascii="Times New Roman" w:hAnsi="Times New Roman" w:cs="Times New Roman"/>
          <w:sz w:val="24"/>
          <w:szCs w:val="24"/>
        </w:rPr>
        <w:t xml:space="preserve">5) младенческая смертность, в том числе в городской и сельской местности (на 1 тыс. человек, родившихся живыми): 2019 год – 6,2, в том числе в городской местности – 5,2, сельской местности – 8,9; 2020 год – 5,9, в том числе в городской местности – 5,0, сельской местности – 8,7; 2021 год – 5,8, в том числе в городской местности – 4,9, сельской местности – 8,6; </w:t>
      </w:r>
      <w:proofErr w:type="gramEnd"/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6) доля умерших в возрасте до 1 года на дому в общем количестве умерших в возрасте до 1 года (процентов): 2019 год – 14,8; 2020 год – 14,5; 2021 год – 14,5;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7) смертность детей в возрасте 0 – 4 лет (на 1 тыс. родившихся живыми): 2019 год – 7,8; 2020 год – 7,3; 2021 год – 7,2;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0D7">
        <w:rPr>
          <w:rFonts w:ascii="Times New Roman" w:hAnsi="Times New Roman" w:cs="Times New Roman"/>
          <w:sz w:val="24"/>
          <w:szCs w:val="24"/>
        </w:rPr>
        <w:t xml:space="preserve">8) смертность населения, в том числе городского и сельского населения (число умерших на 1 тыс. человек населения): на 2019 год – 12,6, в том числе городского населения – 12,1, сельского населения – 14,0; на 2020 год – 12,4, в том числе городского населения – 11,9, сельского населения – 13,7; на 2021 год – 12,1, в том числе городского населения – 11,6, сельского населения – 13,4; </w:t>
      </w:r>
      <w:proofErr w:type="gramEnd"/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9) доля умерших в возрасте 0 – 4 лет на дому в общем количестве умерших в возрасте 0 – 4 лет (процентов): 2019 год – 18,5; 2020 год – 18,3; 2021 год – 18,2;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10) смертность детей в возрасте 0 – 17 лет (на 100 тыс. человек населения соответствующего возраста): 2019 год – 65,0; 2020 год – 63,2; 2021 год – 61,4;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11) доля умерших в возрасте 0 – 17 лет на дому в общем количестве умерших в возрасте 0 – 17 лет (процентов): 2019 год – 24,9; 2020 год – 24,9; 2021 год – 24,9;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12)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(процентов): 2019 год – 24,2; 2020 год – 24,2; 2021 год – 24,2;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13) 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(процентов): 2019 год – 20,0; 2020 год – 20,0; 2021 год – 20,0;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lastRenderedPageBreak/>
        <w:t xml:space="preserve">14) доля пациентов со злокачественными новообразованиями, состоящих на учете с момента установления диагноза 5 лет и более, в общем числе 14 пациентов со злокачественными новообразованиями, состоящих на учете (процентов): 2019 год – 52,0; 2020 год – 52,5; 2021 год –53,0;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15)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(процентов): 2019 год – 57,9; 2020 год – 59,0; 2021 год – 60,1;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16)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(процентов): 2019 год – 25,3; 2020 год – 25,6; 2021 год – 25,9;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17) доля лиц, инфицированных вирусом иммунодефицита человека, получающих </w:t>
      </w:r>
      <w:proofErr w:type="spellStart"/>
      <w:r w:rsidRPr="00E830D7">
        <w:rPr>
          <w:rFonts w:ascii="Times New Roman" w:hAnsi="Times New Roman" w:cs="Times New Roman"/>
          <w:sz w:val="24"/>
          <w:szCs w:val="24"/>
        </w:rPr>
        <w:t>антиретровирусную</w:t>
      </w:r>
      <w:proofErr w:type="spellEnd"/>
      <w:r w:rsidRPr="00E830D7">
        <w:rPr>
          <w:rFonts w:ascii="Times New Roman" w:hAnsi="Times New Roman" w:cs="Times New Roman"/>
          <w:sz w:val="24"/>
          <w:szCs w:val="24"/>
        </w:rPr>
        <w:t xml:space="preserve"> терапию, в общем количестве лиц, инфицированных вирусом иммунодефицита человека (процентов): 2019 год – 70,0; 2020 год – 90,0; 2021 год – 90,0;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18) доля впервые выявленных случаев фиброзно-кавернозного туберкулеза в общем количестве выявленных случаев туберкулеза в течение года (процентов): 2019 год – 1,1; 2020 год – 1,0; 2021 год – 0,9;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19) доля пациентов с инфарктом миокарда, госпитализированных </w:t>
      </w:r>
      <w:proofErr w:type="gramStart"/>
      <w:r w:rsidRPr="00E830D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E830D7">
        <w:rPr>
          <w:rFonts w:ascii="Times New Roman" w:hAnsi="Times New Roman" w:cs="Times New Roman"/>
          <w:sz w:val="24"/>
          <w:szCs w:val="24"/>
        </w:rPr>
        <w:t xml:space="preserve"> 12 часов от начала заболевания, в общем количестве госпитализированных пациентов с инфарктом миокарда (процентов): 2019 год – 45,3; 2020 год – 45,5; 2021 год – 45,7;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20) доля пациентов с острым инфарктом миокарда, которым проведено </w:t>
      </w:r>
      <w:proofErr w:type="spellStart"/>
      <w:r w:rsidRPr="00E830D7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E830D7">
        <w:rPr>
          <w:rFonts w:ascii="Times New Roman" w:hAnsi="Times New Roman" w:cs="Times New Roman"/>
          <w:sz w:val="24"/>
          <w:szCs w:val="24"/>
        </w:rPr>
        <w:t xml:space="preserve"> коронарных артерий, в общем количестве пациентов с острым инфарктом миокарда, имеющих показания к его проведению (процентов): 2019 год – 29,2; 2020 год – 34,4; 2021 год – 39,6;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0D7">
        <w:rPr>
          <w:rFonts w:ascii="Times New Roman" w:hAnsi="Times New Roman" w:cs="Times New Roman"/>
          <w:sz w:val="24"/>
          <w:szCs w:val="24"/>
        </w:rPr>
        <w:t xml:space="preserve">21) 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E830D7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Pr="00E830D7">
        <w:rPr>
          <w:rFonts w:ascii="Times New Roman" w:hAnsi="Times New Roman" w:cs="Times New Roman"/>
          <w:sz w:val="24"/>
          <w:szCs w:val="24"/>
        </w:rPr>
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(процентов): 2019 год – 7,0; 2020 год – 7,3; 2021 год – 7,8; </w:t>
      </w:r>
      <w:proofErr w:type="gramEnd"/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22) доля пациентов с острым инфарктом миокарда, которым проведена </w:t>
      </w:r>
      <w:proofErr w:type="spellStart"/>
      <w:r w:rsidRPr="00E830D7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E830D7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инфарктом миокарда, имеющих показания к ее проведению (процентов): 2019 год – 25,4; 2020 год – 25,8; 2021 год – 26,2;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23) доля пациентов с острыми цереброваскулярными болезнями, госпитализированных </w:t>
      </w:r>
      <w:proofErr w:type="gramStart"/>
      <w:r w:rsidRPr="00E830D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E830D7">
        <w:rPr>
          <w:rFonts w:ascii="Times New Roman" w:hAnsi="Times New Roman" w:cs="Times New Roman"/>
          <w:sz w:val="24"/>
          <w:szCs w:val="24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(процентов): 2019 год – 32,0; 2020 год – 32,3; 2021 год – 32,5;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24) доля пациентов с острым ишемическим инсультом, которым проведена </w:t>
      </w:r>
      <w:proofErr w:type="spellStart"/>
      <w:r w:rsidRPr="00E830D7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E830D7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E830D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E830D7">
        <w:rPr>
          <w:rFonts w:ascii="Times New Roman" w:hAnsi="Times New Roman" w:cs="Times New Roman"/>
          <w:sz w:val="24"/>
          <w:szCs w:val="24"/>
        </w:rPr>
        <w:t xml:space="preserve"> 6 часов от начала заболевания (процентов): 2019 год – 5,0; 2020 год – 5,0; 2021 год – 5,0;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 25) доля пациентов с острым ишемическим инсультом, которым проведена </w:t>
      </w:r>
      <w:proofErr w:type="spellStart"/>
      <w:r w:rsidRPr="00E830D7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E830D7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(процентов): 2019 год – 5,0; 2020 год – 5,0; 2021 год – 5,0; </w:t>
      </w:r>
    </w:p>
    <w:p w:rsid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lastRenderedPageBreak/>
        <w:t xml:space="preserve">26) количество обоснованных жалоб, в том числе на отказ в оказании медицинской помощи, предоставляемой в рамках Программы (единиц): 2019 год – 97; 2020 год – 96; 2021 год – 95. </w:t>
      </w:r>
    </w:p>
    <w:p w:rsidR="00E830D7" w:rsidRPr="00E830D7" w:rsidRDefault="00E830D7" w:rsidP="00E830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0D7">
        <w:rPr>
          <w:rFonts w:ascii="Times New Roman" w:hAnsi="Times New Roman" w:cs="Times New Roman"/>
          <w:b/>
          <w:sz w:val="24"/>
          <w:szCs w:val="24"/>
          <w:u w:val="single"/>
        </w:rPr>
        <w:t>Критериями доступности медицинской помощи являются:</w:t>
      </w:r>
    </w:p>
    <w:p w:rsidR="00410F66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 1) 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 2019 год – 39,2, включая городское население – 36,1, сельское население – 18,5, в амбулаторных условиях – 21,3, в стационарных условиях – 16,1; 2020 год – 39,2, включая городское население – 36,1, сельское население – 18,5, в амбулаторных условиях – 21,3, в стационарных условиях – 16,1; 2021 год – 39,2, включая городское население – 36,1, сельское население – 18,5, в амбулаторных условиях – 21,3, в стационарных условиях – 16,1; </w:t>
      </w:r>
    </w:p>
    <w:p w:rsidR="00410F66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2) 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условиях: 2019 год – 96,1, включая городское население – 76,9, сельское население – 66,7, в амбулаторных условиях – 43,2, в стационарных условиях – 45,9; </w:t>
      </w:r>
      <w:proofErr w:type="gramStart"/>
      <w:r w:rsidRPr="00E830D7">
        <w:rPr>
          <w:rFonts w:ascii="Times New Roman" w:hAnsi="Times New Roman" w:cs="Times New Roman"/>
          <w:sz w:val="24"/>
          <w:szCs w:val="24"/>
        </w:rPr>
        <w:t xml:space="preserve">2020 год – 96,1, включая городское население – 76,9, сельское население – 66,7, в амбулаторных условиях – 43,2, в стационарных условиях – 45,9; 2021 год – 96,1, включая городское население – 76,9, сельское население – 66,7, в амбулаторных условиях – 43,2, в стационарных условиях – 45,9; </w:t>
      </w:r>
      <w:proofErr w:type="gramEnd"/>
    </w:p>
    <w:p w:rsidR="00410F66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3) доля расходов на оказание медицинской помощи в условиях дневных стационаров в общих расходах на Программу (процентов): 2019 год – 6,7; 2020 год – 6,7; 2021 год – 6,7; </w:t>
      </w:r>
    </w:p>
    <w:p w:rsidR="00410F66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4) доля расходов на оказание медицинской помощи в амбулаторных условиях в неотложной форме в общих расходах на Программу (процентов): 2019 год – 2,2; 2020 год – 2,2; 2021 год – 2,2; </w:t>
      </w:r>
    </w:p>
    <w:p w:rsidR="00410F66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>5) доля охвата диспансеризацией взрослого населения, подлежащего диспансеризации (процентов): 2019 год – 95,0; 2020 год – 95,00; 2021 год – 95,0;</w:t>
      </w:r>
    </w:p>
    <w:p w:rsidR="00AA5D54" w:rsidRPr="00E830D7" w:rsidRDefault="00E830D7" w:rsidP="00E830D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D7">
        <w:rPr>
          <w:rFonts w:ascii="Times New Roman" w:hAnsi="Times New Roman" w:cs="Times New Roman"/>
          <w:sz w:val="24"/>
          <w:szCs w:val="24"/>
        </w:rPr>
        <w:t xml:space="preserve"> 6) 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 (процентов): 2019 год – 44,8, в том числе проживающих в городской местности – 44,8, сельской местности – 44,8; 2020 год – 45,3, в том числе проживающих в городской местности – 45,3, сельской местности – 45,3; 2021 год – 56,6, в том числе проживающих в городской местности – 56,6, сельской местности – 56,6; 7) доля охвата профилактическими медицинскими осмотрами детей, в том числе городских и сельских жителей, подлежащих профилактическим 16 медицинским осмотрам (процентов): 2019 год – 95,0, в том числе проживающих в городской местности – 95,0, сельской местности – 95,0; 2020 год – 95,0, в том числе </w:t>
      </w:r>
      <w:proofErr w:type="gramStart"/>
      <w:r w:rsidRPr="00E830D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830D7">
        <w:rPr>
          <w:rFonts w:ascii="Times New Roman" w:hAnsi="Times New Roman" w:cs="Times New Roman"/>
          <w:sz w:val="24"/>
          <w:szCs w:val="24"/>
        </w:rPr>
        <w:t xml:space="preserve"> в городской местности – 95,0, сельской местности – 95,0; 2021 год – 95,0, в том </w:t>
      </w:r>
      <w:proofErr w:type="gramStart"/>
      <w:r w:rsidRPr="00E830D7">
        <w:rPr>
          <w:rFonts w:ascii="Times New Roman" w:hAnsi="Times New Roman" w:cs="Times New Roman"/>
          <w:sz w:val="24"/>
          <w:szCs w:val="24"/>
        </w:rPr>
        <w:t>числе проживающих в городской местности – 95,0, сельской местности – 95,0; 8)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(процентов): 2019 год – 1,2; 2020 год – 1,2;</w:t>
      </w:r>
      <w:proofErr w:type="gramEnd"/>
      <w:r w:rsidRPr="00E83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0D7">
        <w:rPr>
          <w:rFonts w:ascii="Times New Roman" w:hAnsi="Times New Roman" w:cs="Times New Roman"/>
          <w:sz w:val="24"/>
          <w:szCs w:val="24"/>
        </w:rPr>
        <w:t>2021 год – 1,2; 9) число лиц, проживающих в сельской местности, которым оказана скорая медицинская помощь (на 1 тыс. человек сельского населения): 2019 год – 195,0; 2020 год – 195,0; 2021 год – 195,0; 10)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(процентов): 2019 год – 9,4;</w:t>
      </w:r>
      <w:proofErr w:type="gramEnd"/>
      <w:r w:rsidRPr="00E83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0D7">
        <w:rPr>
          <w:rFonts w:ascii="Times New Roman" w:hAnsi="Times New Roman" w:cs="Times New Roman"/>
          <w:sz w:val="24"/>
          <w:szCs w:val="24"/>
        </w:rPr>
        <w:t xml:space="preserve">2020 год – 9,0; 2021 год – 8,5; 11)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(процентов): 2019 год – 40,0; 2020 год – 41,0; 2021 год – 42,0; 12) доля женщин, которым проведено </w:t>
      </w:r>
      <w:r w:rsidRPr="00E830D7">
        <w:rPr>
          <w:rFonts w:ascii="Times New Roman" w:hAnsi="Times New Roman" w:cs="Times New Roman"/>
          <w:sz w:val="24"/>
          <w:szCs w:val="24"/>
        </w:rPr>
        <w:lastRenderedPageBreak/>
        <w:t>экстракорпоральное оплодотворение, в общем количестве женщин с бесплодием (процентов): 2019 год – 21,3;</w:t>
      </w:r>
      <w:proofErr w:type="gramEnd"/>
      <w:r w:rsidRPr="00E830D7">
        <w:rPr>
          <w:rFonts w:ascii="Times New Roman" w:hAnsi="Times New Roman" w:cs="Times New Roman"/>
          <w:sz w:val="24"/>
          <w:szCs w:val="24"/>
        </w:rPr>
        <w:t xml:space="preserve"> 2020 год – 21,3; 2021 год – 21,3</w:t>
      </w:r>
    </w:p>
    <w:sectPr w:rsidR="00AA5D54" w:rsidRPr="00E830D7" w:rsidSect="00E830D7">
      <w:pgSz w:w="11906" w:h="16838"/>
      <w:pgMar w:top="454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0D7"/>
    <w:rsid w:val="00410F66"/>
    <w:rsid w:val="00AA5D54"/>
    <w:rsid w:val="00E830D7"/>
    <w:rsid w:val="00EF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Лаборатория</cp:lastModifiedBy>
  <cp:revision>3</cp:revision>
  <dcterms:created xsi:type="dcterms:W3CDTF">2020-11-26T10:42:00Z</dcterms:created>
  <dcterms:modified xsi:type="dcterms:W3CDTF">2020-11-26T10:55:00Z</dcterms:modified>
</cp:coreProperties>
</file>